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570"/>
        <w:tblW w:w="10800" w:type="dxa"/>
        <w:tblLayout w:type="fixed"/>
        <w:tblLook w:val="04A0" w:firstRow="1" w:lastRow="0" w:firstColumn="1" w:lastColumn="0" w:noHBand="0" w:noVBand="1"/>
      </w:tblPr>
      <w:tblGrid>
        <w:gridCol w:w="2939"/>
        <w:gridCol w:w="4826"/>
        <w:gridCol w:w="3035"/>
      </w:tblGrid>
      <w:tr w:rsidR="006C3E6A" w14:paraId="57444AEE" w14:textId="77777777" w:rsidTr="00352AE0">
        <w:trPr>
          <w:trHeight w:val="2947"/>
        </w:trPr>
        <w:tc>
          <w:tcPr>
            <w:tcW w:w="2939" w:type="dxa"/>
            <w:tcBorders>
              <w:top w:val="nil"/>
              <w:left w:val="nil"/>
              <w:bottom w:val="nil"/>
              <w:right w:val="nil"/>
            </w:tcBorders>
            <w:vAlign w:val="center"/>
          </w:tcPr>
          <w:p w14:paraId="1C8037FE" w14:textId="77777777" w:rsidR="006C3E6A" w:rsidRDefault="006C3E6A" w:rsidP="00352AE0">
            <w:pPr>
              <w:spacing w:line="360" w:lineRule="auto"/>
              <w:rPr>
                <w:rFonts w:eastAsia="Calibri"/>
                <w:sz w:val="14"/>
                <w:szCs w:val="14"/>
              </w:rPr>
            </w:pPr>
          </w:p>
          <w:p w14:paraId="7DF0CA49" w14:textId="77777777" w:rsidR="006C3E6A" w:rsidRDefault="006C3E6A" w:rsidP="00352AE0">
            <w:pPr>
              <w:spacing w:line="360" w:lineRule="auto"/>
              <w:rPr>
                <w:rFonts w:eastAsia="Calibri"/>
                <w:sz w:val="14"/>
                <w:szCs w:val="14"/>
              </w:rPr>
            </w:pPr>
          </w:p>
          <w:p w14:paraId="198D4982" w14:textId="77777777" w:rsidR="006C3E6A" w:rsidRDefault="006C3E6A" w:rsidP="00352AE0">
            <w:pPr>
              <w:spacing w:line="360" w:lineRule="auto"/>
              <w:rPr>
                <w:rFonts w:eastAsia="Calibri"/>
                <w:sz w:val="14"/>
                <w:szCs w:val="14"/>
              </w:rPr>
            </w:pPr>
            <w:r>
              <w:rPr>
                <w:rFonts w:eastAsia="Calibri"/>
                <w:sz w:val="14"/>
                <w:szCs w:val="14"/>
              </w:rPr>
              <w:t xml:space="preserve">JOSEPH J. MARAZITI, JR. </w:t>
            </w:r>
          </w:p>
          <w:p w14:paraId="150F3494" w14:textId="77777777" w:rsidR="006C3E6A" w:rsidRDefault="006C3E6A" w:rsidP="00352AE0">
            <w:pPr>
              <w:spacing w:line="360" w:lineRule="auto"/>
              <w:rPr>
                <w:rFonts w:eastAsia="Calibri"/>
                <w:sz w:val="14"/>
                <w:szCs w:val="14"/>
              </w:rPr>
            </w:pPr>
            <w:r>
              <w:rPr>
                <w:rFonts w:eastAsia="Calibri"/>
                <w:sz w:val="14"/>
                <w:szCs w:val="14"/>
              </w:rPr>
              <w:t>DIANE ALEXANDER</w:t>
            </w:r>
            <w:r>
              <w:rPr>
                <w:rFonts w:eastAsia="Calibri"/>
                <w:sz w:val="14"/>
                <w:szCs w:val="14"/>
                <w:vertAlign w:val="superscript"/>
              </w:rPr>
              <w:t>1</w:t>
            </w:r>
          </w:p>
          <w:p w14:paraId="0360D847" w14:textId="77777777" w:rsidR="006C3E6A" w:rsidRDefault="006C3E6A" w:rsidP="00352AE0">
            <w:pPr>
              <w:spacing w:line="360" w:lineRule="auto"/>
              <w:rPr>
                <w:rFonts w:eastAsia="Calibri"/>
                <w:sz w:val="14"/>
                <w:szCs w:val="14"/>
              </w:rPr>
            </w:pPr>
            <w:r>
              <w:rPr>
                <w:rFonts w:eastAsia="Calibri"/>
                <w:sz w:val="14"/>
                <w:szCs w:val="14"/>
              </w:rPr>
              <w:t xml:space="preserve">BRENT BRAD CARNEY </w:t>
            </w:r>
          </w:p>
          <w:p w14:paraId="3555CC59" w14:textId="77777777" w:rsidR="006C3E6A" w:rsidRDefault="006C3E6A" w:rsidP="00352AE0">
            <w:pPr>
              <w:spacing w:line="360" w:lineRule="auto"/>
              <w:rPr>
                <w:rFonts w:eastAsia="Calibri"/>
                <w:sz w:val="14"/>
                <w:szCs w:val="14"/>
              </w:rPr>
            </w:pPr>
            <w:r>
              <w:rPr>
                <w:rFonts w:eastAsia="Calibri"/>
                <w:sz w:val="14"/>
                <w:szCs w:val="14"/>
              </w:rPr>
              <w:t xml:space="preserve">ANDREW M. BREWER </w:t>
            </w:r>
          </w:p>
          <w:p w14:paraId="378D40C8" w14:textId="48D1F8F5" w:rsidR="006C3E6A" w:rsidRDefault="006C3E6A" w:rsidP="00352AE0">
            <w:pPr>
              <w:spacing w:line="360" w:lineRule="auto"/>
              <w:rPr>
                <w:rFonts w:eastAsia="Calibri"/>
                <w:sz w:val="14"/>
                <w:szCs w:val="14"/>
              </w:rPr>
            </w:pPr>
            <w:r>
              <w:rPr>
                <w:rFonts w:eastAsia="Calibri"/>
                <w:sz w:val="14"/>
                <w:szCs w:val="14"/>
              </w:rPr>
              <w:t>JOANNE VOS</w:t>
            </w:r>
          </w:p>
          <w:p w14:paraId="3A489A63" w14:textId="6CFE3C4C" w:rsidR="00433420" w:rsidRDefault="00433420" w:rsidP="00352AE0">
            <w:pPr>
              <w:spacing w:line="360" w:lineRule="auto"/>
              <w:rPr>
                <w:rFonts w:eastAsia="Calibri"/>
                <w:sz w:val="14"/>
                <w:szCs w:val="14"/>
              </w:rPr>
            </w:pPr>
            <w:r>
              <w:rPr>
                <w:rFonts w:eastAsia="Calibri"/>
                <w:sz w:val="14"/>
                <w:szCs w:val="14"/>
              </w:rPr>
              <w:t>ALYSE LANDANO HUBBARD</w:t>
            </w:r>
          </w:p>
          <w:p w14:paraId="705C2A30" w14:textId="0A21872B" w:rsidR="00433420" w:rsidRDefault="00433420" w:rsidP="00352AE0">
            <w:pPr>
              <w:spacing w:line="360" w:lineRule="auto"/>
              <w:rPr>
                <w:rFonts w:eastAsia="Calibri"/>
                <w:sz w:val="14"/>
                <w:szCs w:val="14"/>
              </w:rPr>
            </w:pPr>
            <w:r>
              <w:rPr>
                <w:rFonts w:eastAsia="Calibri"/>
                <w:sz w:val="14"/>
                <w:szCs w:val="14"/>
              </w:rPr>
              <w:t>ANN</w:t>
            </w:r>
            <w:r w:rsidR="00461D5F">
              <w:rPr>
                <w:rFonts w:eastAsia="Calibri"/>
                <w:sz w:val="14"/>
                <w:szCs w:val="14"/>
              </w:rPr>
              <w:t>E</w:t>
            </w:r>
            <w:r>
              <w:rPr>
                <w:rFonts w:eastAsia="Calibri"/>
                <w:sz w:val="14"/>
                <w:szCs w:val="14"/>
              </w:rPr>
              <w:t xml:space="preserve"> E. ROWAN</w:t>
            </w:r>
          </w:p>
          <w:p w14:paraId="40FB1950" w14:textId="77777777" w:rsidR="006C3E6A" w:rsidRDefault="006C3E6A" w:rsidP="00352AE0">
            <w:pPr>
              <w:spacing w:line="360" w:lineRule="auto"/>
              <w:rPr>
                <w:rFonts w:eastAsia="Calibri"/>
                <w:sz w:val="14"/>
                <w:szCs w:val="14"/>
              </w:rPr>
            </w:pPr>
            <w:r>
              <w:rPr>
                <w:rFonts w:eastAsia="Calibri"/>
                <w:sz w:val="14"/>
                <w:szCs w:val="14"/>
              </w:rPr>
              <w:t xml:space="preserve">HEATHER A. PIERCE </w:t>
            </w:r>
          </w:p>
          <w:p w14:paraId="20555289" w14:textId="4226560B" w:rsidR="006C3E6A" w:rsidRDefault="006C3E6A" w:rsidP="00352AE0">
            <w:pPr>
              <w:spacing w:line="360" w:lineRule="auto"/>
              <w:rPr>
                <w:rFonts w:eastAsia="Calibri"/>
                <w:sz w:val="14"/>
                <w:szCs w:val="14"/>
              </w:rPr>
            </w:pPr>
            <w:r>
              <w:rPr>
                <w:rFonts w:eastAsia="Calibri"/>
                <w:sz w:val="14"/>
                <w:szCs w:val="14"/>
              </w:rPr>
              <w:t>PAOLA TORO</w:t>
            </w:r>
          </w:p>
          <w:p w14:paraId="53BFC0AE" w14:textId="42DF8489" w:rsidR="00AF4307" w:rsidRDefault="00AF4307" w:rsidP="00352AE0">
            <w:pPr>
              <w:spacing w:line="360" w:lineRule="auto"/>
              <w:rPr>
                <w:rFonts w:eastAsia="Calibri"/>
                <w:sz w:val="14"/>
                <w:szCs w:val="14"/>
              </w:rPr>
            </w:pPr>
            <w:r>
              <w:rPr>
                <w:rFonts w:eastAsia="Calibri"/>
                <w:sz w:val="14"/>
                <w:szCs w:val="14"/>
              </w:rPr>
              <w:t>ROBERT MELLINGER</w:t>
            </w:r>
          </w:p>
          <w:p w14:paraId="13EC584F" w14:textId="6D048EB0" w:rsidR="00433420" w:rsidRDefault="00433420" w:rsidP="00352AE0">
            <w:pPr>
              <w:spacing w:line="360" w:lineRule="auto"/>
              <w:rPr>
                <w:rFonts w:eastAsia="Calibri"/>
                <w:sz w:val="14"/>
                <w:szCs w:val="14"/>
              </w:rPr>
            </w:pPr>
          </w:p>
          <w:p w14:paraId="62E2D46C" w14:textId="7FB481D1" w:rsidR="00433420" w:rsidRDefault="00433420" w:rsidP="00352AE0">
            <w:pPr>
              <w:spacing w:line="360" w:lineRule="auto"/>
              <w:rPr>
                <w:rFonts w:eastAsia="Calibri"/>
                <w:sz w:val="14"/>
                <w:szCs w:val="14"/>
              </w:rPr>
            </w:pPr>
            <w:r>
              <w:rPr>
                <w:rFonts w:eastAsia="Calibri"/>
                <w:sz w:val="14"/>
                <w:szCs w:val="14"/>
              </w:rPr>
              <w:t xml:space="preserve">     OF COUNSEL</w:t>
            </w:r>
          </w:p>
          <w:p w14:paraId="4AE51D85" w14:textId="400BB1F4" w:rsidR="00433420" w:rsidRDefault="00433420" w:rsidP="00352AE0">
            <w:pPr>
              <w:spacing w:line="360" w:lineRule="auto"/>
              <w:rPr>
                <w:rFonts w:eastAsia="Calibri"/>
                <w:sz w:val="14"/>
                <w:szCs w:val="14"/>
              </w:rPr>
            </w:pPr>
            <w:r>
              <w:rPr>
                <w:rFonts w:eastAsia="Calibri"/>
                <w:sz w:val="14"/>
                <w:szCs w:val="14"/>
              </w:rPr>
              <w:t xml:space="preserve">          CHRISTOPHER H. FALCON</w:t>
            </w:r>
          </w:p>
          <w:p w14:paraId="044C0FF7" w14:textId="77777777" w:rsidR="006C3E6A" w:rsidRDefault="006C3E6A" w:rsidP="00352AE0">
            <w:pPr>
              <w:spacing w:line="360" w:lineRule="auto"/>
              <w:rPr>
                <w:rFonts w:eastAsia="Calibri"/>
                <w:sz w:val="14"/>
                <w:szCs w:val="14"/>
                <w:vertAlign w:val="superscript"/>
              </w:rPr>
            </w:pPr>
          </w:p>
          <w:p w14:paraId="750D2110" w14:textId="77777777" w:rsidR="006C3E6A" w:rsidRPr="00D31BBD" w:rsidRDefault="006C3E6A" w:rsidP="00352AE0">
            <w:pPr>
              <w:spacing w:line="360" w:lineRule="auto"/>
              <w:rPr>
                <w:rFonts w:eastAsia="Calibri"/>
                <w:sz w:val="14"/>
                <w:szCs w:val="14"/>
              </w:rPr>
            </w:pPr>
            <w:r>
              <w:rPr>
                <w:rFonts w:eastAsia="Calibri"/>
                <w:sz w:val="14"/>
                <w:szCs w:val="14"/>
                <w:vertAlign w:val="superscript"/>
              </w:rPr>
              <w:t>1</w:t>
            </w:r>
            <w:r>
              <w:rPr>
                <w:rFonts w:eastAsia="Calibri"/>
                <w:sz w:val="14"/>
                <w:szCs w:val="14"/>
              </w:rPr>
              <w:t xml:space="preserve"> Also admitted in NY</w:t>
            </w:r>
          </w:p>
        </w:tc>
        <w:tc>
          <w:tcPr>
            <w:tcW w:w="4826" w:type="dxa"/>
            <w:tcBorders>
              <w:top w:val="nil"/>
              <w:left w:val="nil"/>
              <w:bottom w:val="nil"/>
              <w:right w:val="nil"/>
            </w:tcBorders>
          </w:tcPr>
          <w:p w14:paraId="13BA54B5" w14:textId="77777777" w:rsidR="006C3E6A" w:rsidRDefault="006C3E6A" w:rsidP="00352AE0">
            <w:pPr>
              <w:spacing w:before="73" w:line="598" w:lineRule="exact"/>
              <w:jc w:val="both"/>
              <w:rPr>
                <w:sz w:val="56"/>
                <w:szCs w:val="56"/>
              </w:rPr>
            </w:pPr>
            <w:r>
              <w:rPr>
                <w:rFonts w:eastAsia="Calibri"/>
                <w:b/>
                <w:color w:val="3B3D3F"/>
                <w:sz w:val="56"/>
                <w:szCs w:val="56"/>
              </w:rPr>
              <w:t xml:space="preserve">  MARAZITI   </w:t>
            </w:r>
          </w:p>
          <w:p w14:paraId="6E505AD3" w14:textId="77777777" w:rsidR="006C3E6A" w:rsidRDefault="006C3E6A" w:rsidP="00352AE0">
            <w:pPr>
              <w:spacing w:before="73" w:line="598" w:lineRule="exact"/>
              <w:ind w:left="720"/>
              <w:jc w:val="both"/>
              <w:rPr>
                <w:sz w:val="56"/>
                <w:szCs w:val="56"/>
              </w:rPr>
            </w:pPr>
            <w:r>
              <w:rPr>
                <w:rFonts w:eastAsia="Calibri"/>
                <w:b/>
                <w:color w:val="3B3D3F"/>
                <w:sz w:val="56"/>
                <w:szCs w:val="56"/>
              </w:rPr>
              <w:t xml:space="preserve"> FALCON, </w:t>
            </w:r>
            <w:r>
              <w:rPr>
                <w:rFonts w:eastAsia="Calibri"/>
                <w:b/>
                <w:color w:val="3B3D3F"/>
                <w:w w:val="85"/>
                <w:sz w:val="56"/>
                <w:szCs w:val="56"/>
              </w:rPr>
              <w:t>LLP</w:t>
            </w:r>
          </w:p>
          <w:p w14:paraId="1BB93DE6" w14:textId="77777777" w:rsidR="006C3E6A" w:rsidRDefault="006C3E6A" w:rsidP="00352AE0">
            <w:pPr>
              <w:spacing w:before="73" w:line="598" w:lineRule="exact"/>
              <w:ind w:left="720"/>
              <w:jc w:val="both"/>
              <w:rPr>
                <w:sz w:val="56"/>
                <w:szCs w:val="56"/>
              </w:rPr>
            </w:pPr>
            <w:r>
              <w:rPr>
                <w:rFonts w:eastAsia="Calibri"/>
                <w:color w:val="3B3D3F"/>
                <w:w w:val="110"/>
              </w:rPr>
              <w:t>ATTORNEYS AT LAW</w:t>
            </w:r>
          </w:p>
          <w:p w14:paraId="2C88741A" w14:textId="77777777" w:rsidR="006C3E6A" w:rsidRDefault="006C3E6A" w:rsidP="00352AE0">
            <w:pPr>
              <w:pStyle w:val="Header"/>
              <w:rPr>
                <w:rFonts w:eastAsia="Calibri"/>
              </w:rPr>
            </w:pPr>
          </w:p>
        </w:tc>
        <w:tc>
          <w:tcPr>
            <w:tcW w:w="3035" w:type="dxa"/>
            <w:tcBorders>
              <w:top w:val="nil"/>
              <w:left w:val="nil"/>
              <w:bottom w:val="nil"/>
              <w:right w:val="nil"/>
            </w:tcBorders>
          </w:tcPr>
          <w:p w14:paraId="09DAD13B" w14:textId="77777777" w:rsidR="006C3E6A" w:rsidRDefault="006C3E6A" w:rsidP="00352AE0">
            <w:pPr>
              <w:spacing w:line="360" w:lineRule="auto"/>
              <w:ind w:right="144"/>
              <w:jc w:val="right"/>
              <w:rPr>
                <w:rFonts w:eastAsia="Calibri"/>
                <w:color w:val="3B3D3F"/>
                <w:sz w:val="14"/>
                <w:szCs w:val="14"/>
              </w:rPr>
            </w:pPr>
          </w:p>
          <w:p w14:paraId="2A99785C" w14:textId="77777777" w:rsidR="006C3E6A" w:rsidRDefault="006C3E6A" w:rsidP="00352AE0">
            <w:pPr>
              <w:spacing w:line="360" w:lineRule="auto"/>
              <w:ind w:right="144"/>
              <w:jc w:val="right"/>
              <w:rPr>
                <w:rFonts w:eastAsia="Calibri"/>
                <w:color w:val="3B3D3F"/>
                <w:sz w:val="14"/>
                <w:szCs w:val="14"/>
              </w:rPr>
            </w:pPr>
          </w:p>
          <w:p w14:paraId="5CAB368A" w14:textId="77777777" w:rsidR="006C3E6A" w:rsidRPr="00211F1E" w:rsidRDefault="006C3E6A" w:rsidP="00352AE0">
            <w:pPr>
              <w:spacing w:line="360" w:lineRule="auto"/>
              <w:ind w:right="144"/>
              <w:jc w:val="right"/>
              <w:rPr>
                <w:rFonts w:eastAsia="Calibri"/>
                <w:color w:val="3B3D3F"/>
                <w:sz w:val="14"/>
                <w:szCs w:val="14"/>
              </w:rPr>
            </w:pPr>
            <w:r w:rsidRPr="00211F1E">
              <w:rPr>
                <w:rFonts w:eastAsia="Calibri"/>
                <w:color w:val="3B3D3F"/>
                <w:sz w:val="14"/>
                <w:szCs w:val="14"/>
              </w:rPr>
              <w:t>240 CEDAR KNOLLS ROAD</w:t>
            </w:r>
          </w:p>
          <w:p w14:paraId="2F583329" w14:textId="77777777" w:rsidR="006C3E6A" w:rsidRPr="00211F1E" w:rsidRDefault="006C3E6A" w:rsidP="00352AE0">
            <w:pPr>
              <w:spacing w:line="360" w:lineRule="auto"/>
              <w:ind w:right="144"/>
              <w:jc w:val="right"/>
              <w:rPr>
                <w:rFonts w:eastAsia="Calibri"/>
                <w:color w:val="3B3D3F"/>
                <w:sz w:val="14"/>
                <w:szCs w:val="14"/>
              </w:rPr>
            </w:pPr>
            <w:r w:rsidRPr="00211F1E">
              <w:rPr>
                <w:rFonts w:eastAsia="Calibri"/>
                <w:color w:val="3B3D3F"/>
                <w:sz w:val="14"/>
                <w:szCs w:val="14"/>
              </w:rPr>
              <w:t>SUITE 301</w:t>
            </w:r>
          </w:p>
          <w:p w14:paraId="65AF7C5E" w14:textId="77777777" w:rsidR="006C3E6A" w:rsidRPr="00211F1E" w:rsidRDefault="006C3E6A" w:rsidP="00352AE0">
            <w:pPr>
              <w:spacing w:line="360" w:lineRule="auto"/>
              <w:ind w:right="144"/>
              <w:jc w:val="right"/>
              <w:rPr>
                <w:rFonts w:eastAsia="Calibri"/>
                <w:sz w:val="14"/>
                <w:szCs w:val="14"/>
              </w:rPr>
            </w:pPr>
            <w:r w:rsidRPr="00211F1E">
              <w:rPr>
                <w:rFonts w:eastAsia="Calibri"/>
                <w:color w:val="3B3D3F"/>
                <w:sz w:val="14"/>
                <w:szCs w:val="14"/>
              </w:rPr>
              <w:t xml:space="preserve">CEDAR KNOLLS, NEW JERSEY </w:t>
            </w:r>
            <w:r w:rsidRPr="00211F1E">
              <w:rPr>
                <w:rFonts w:eastAsia="Calibri"/>
                <w:color w:val="3B3D3F"/>
                <w:w w:val="110"/>
                <w:sz w:val="14"/>
                <w:szCs w:val="14"/>
              </w:rPr>
              <w:t>07927</w:t>
            </w:r>
          </w:p>
          <w:p w14:paraId="1842FF23" w14:textId="71DC6DED" w:rsidR="006C3E6A" w:rsidRPr="00591B75" w:rsidRDefault="00591B75" w:rsidP="00352AE0">
            <w:pPr>
              <w:widowControl w:val="0"/>
              <w:spacing w:line="360" w:lineRule="auto"/>
              <w:ind w:right="144"/>
              <w:jc w:val="right"/>
              <w:rPr>
                <w:rFonts w:eastAsia="Times New Roman"/>
                <w:sz w:val="16"/>
                <w:szCs w:val="16"/>
              </w:rPr>
            </w:pPr>
            <w:r>
              <w:rPr>
                <w:rFonts w:eastAsia="Times New Roman"/>
                <w:sz w:val="16"/>
                <w:szCs w:val="16"/>
              </w:rPr>
              <w:t>__________________</w:t>
            </w:r>
          </w:p>
          <w:p w14:paraId="5D42A526" w14:textId="4627AC89" w:rsidR="006C3E6A" w:rsidRDefault="006C3E6A" w:rsidP="00352AE0">
            <w:pPr>
              <w:widowControl w:val="0"/>
              <w:spacing w:line="360" w:lineRule="auto"/>
              <w:ind w:left="1013" w:right="144"/>
              <w:jc w:val="right"/>
              <w:rPr>
                <w:rFonts w:eastAsia="Times New Roman"/>
                <w:sz w:val="2"/>
                <w:szCs w:val="14"/>
              </w:rPr>
            </w:pPr>
          </w:p>
          <w:p w14:paraId="60C68EED" w14:textId="77777777" w:rsidR="006C3E6A" w:rsidRDefault="006C3E6A" w:rsidP="00352AE0">
            <w:pPr>
              <w:widowControl w:val="0"/>
              <w:spacing w:line="360" w:lineRule="auto"/>
              <w:ind w:right="144"/>
              <w:jc w:val="right"/>
              <w:rPr>
                <w:rFonts w:eastAsia="Times New Roman"/>
                <w:sz w:val="12"/>
                <w:szCs w:val="14"/>
              </w:rPr>
            </w:pPr>
          </w:p>
          <w:p w14:paraId="3C65F80F" w14:textId="77777777" w:rsidR="006C3E6A" w:rsidRDefault="006C3E6A" w:rsidP="00352AE0">
            <w:pPr>
              <w:spacing w:line="360" w:lineRule="auto"/>
              <w:ind w:left="1181" w:right="144"/>
              <w:jc w:val="right"/>
              <w:rPr>
                <w:rFonts w:eastAsia="Calibri"/>
                <w:sz w:val="12"/>
              </w:rPr>
            </w:pPr>
            <w:r>
              <w:rPr>
                <w:rFonts w:eastAsia="Calibri"/>
                <w:color w:val="3B3D3F"/>
                <w:w w:val="120"/>
                <w:sz w:val="12"/>
              </w:rPr>
              <w:t xml:space="preserve">PHONE: </w:t>
            </w:r>
            <w:r>
              <w:rPr>
                <w:rFonts w:eastAsia="Calibri"/>
                <w:color w:val="4D4D4F"/>
                <w:w w:val="120"/>
                <w:sz w:val="12"/>
              </w:rPr>
              <w:t xml:space="preserve">(973) </w:t>
            </w:r>
            <w:r>
              <w:rPr>
                <w:rFonts w:eastAsia="Calibri"/>
                <w:color w:val="3B3D3F"/>
                <w:w w:val="120"/>
                <w:sz w:val="12"/>
              </w:rPr>
              <w:t>912-9008</w:t>
            </w:r>
          </w:p>
          <w:p w14:paraId="2EEA28BF" w14:textId="77777777" w:rsidR="006C3E6A" w:rsidRDefault="006C3E6A" w:rsidP="00352AE0">
            <w:pPr>
              <w:spacing w:line="360" w:lineRule="auto"/>
              <w:ind w:left="1387" w:right="144"/>
              <w:jc w:val="right"/>
              <w:rPr>
                <w:rFonts w:eastAsia="Calibri"/>
                <w:sz w:val="12"/>
              </w:rPr>
            </w:pPr>
            <w:r>
              <w:rPr>
                <w:rFonts w:eastAsia="Calibri"/>
                <w:sz w:val="12"/>
              </w:rPr>
              <w:t>FAX (973) 912-9007</w:t>
            </w:r>
          </w:p>
          <w:p w14:paraId="682A044C" w14:textId="290CE675" w:rsidR="006C3E6A" w:rsidRDefault="00B23B19" w:rsidP="00352AE0">
            <w:pPr>
              <w:spacing w:line="360" w:lineRule="auto"/>
              <w:ind w:left="1209" w:right="144"/>
              <w:jc w:val="right"/>
              <w:rPr>
                <w:rFonts w:eastAsia="Calibri"/>
                <w:color w:val="0000FF"/>
                <w:w w:val="105"/>
                <w:sz w:val="12"/>
                <w:u w:val="single"/>
              </w:rPr>
            </w:pPr>
            <w:hyperlink r:id="rId7">
              <w:r w:rsidR="006C3E6A">
                <w:rPr>
                  <w:rFonts w:eastAsia="Calibri"/>
                  <w:color w:val="0000FF"/>
                  <w:w w:val="105"/>
                  <w:sz w:val="12"/>
                  <w:u w:val="single"/>
                </w:rPr>
                <w:t>www.mfhlaw.com</w:t>
              </w:r>
            </w:hyperlink>
          </w:p>
          <w:p w14:paraId="6EF1E82C" w14:textId="5164DFBD" w:rsidR="00211F1E" w:rsidRDefault="00211F1E" w:rsidP="00352AE0">
            <w:pPr>
              <w:spacing w:line="360" w:lineRule="auto"/>
              <w:ind w:left="1209" w:right="144"/>
              <w:jc w:val="right"/>
              <w:rPr>
                <w:rFonts w:eastAsia="Calibri"/>
                <w:color w:val="0000FF"/>
                <w:w w:val="105"/>
                <w:sz w:val="12"/>
                <w:u w:val="single"/>
              </w:rPr>
            </w:pPr>
          </w:p>
          <w:p w14:paraId="25E823F6" w14:textId="0A02819D" w:rsidR="00211F1E" w:rsidRPr="00211F1E" w:rsidRDefault="00211F1E" w:rsidP="00352AE0">
            <w:pPr>
              <w:spacing w:line="360" w:lineRule="auto"/>
              <w:ind w:left="1209" w:right="144"/>
              <w:jc w:val="right"/>
              <w:rPr>
                <w:rFonts w:eastAsia="Calibri"/>
                <w:w w:val="105"/>
                <w:sz w:val="12"/>
                <w:szCs w:val="12"/>
              </w:rPr>
            </w:pPr>
            <w:r w:rsidRPr="00211F1E">
              <w:rPr>
                <w:rFonts w:eastAsia="Calibri"/>
                <w:w w:val="105"/>
                <w:sz w:val="12"/>
                <w:szCs w:val="12"/>
              </w:rPr>
              <w:t>Direct No. (973) 912-</w:t>
            </w:r>
            <w:r w:rsidR="00433420">
              <w:rPr>
                <w:rFonts w:eastAsia="Calibri"/>
                <w:w w:val="105"/>
                <w:sz w:val="12"/>
                <w:szCs w:val="12"/>
              </w:rPr>
              <w:t>6819</w:t>
            </w:r>
          </w:p>
          <w:p w14:paraId="10E59C9E" w14:textId="3AC3761A" w:rsidR="00433420" w:rsidRDefault="00211F1E" w:rsidP="00076FC9">
            <w:pPr>
              <w:spacing w:line="360" w:lineRule="auto"/>
              <w:ind w:left="591" w:right="144"/>
              <w:jc w:val="right"/>
              <w:rPr>
                <w:rFonts w:eastAsia="Calibri"/>
                <w:w w:val="105"/>
                <w:sz w:val="12"/>
                <w:szCs w:val="12"/>
                <w:u w:val="single"/>
              </w:rPr>
            </w:pPr>
            <w:r w:rsidRPr="00211F1E">
              <w:rPr>
                <w:rFonts w:eastAsia="Calibri"/>
                <w:w w:val="105"/>
                <w:sz w:val="12"/>
                <w:szCs w:val="12"/>
              </w:rPr>
              <w:t>E</w:t>
            </w:r>
            <w:r w:rsidR="00AB6C0B">
              <w:rPr>
                <w:rFonts w:eastAsia="Calibri"/>
                <w:w w:val="105"/>
                <w:sz w:val="12"/>
                <w:szCs w:val="12"/>
              </w:rPr>
              <w:t>-</w:t>
            </w:r>
            <w:r w:rsidRPr="00211F1E">
              <w:rPr>
                <w:rFonts w:eastAsia="Calibri"/>
                <w:w w:val="105"/>
                <w:sz w:val="12"/>
                <w:szCs w:val="12"/>
              </w:rPr>
              <w:t>mail:</w:t>
            </w:r>
            <w:r w:rsidRPr="00211F1E">
              <w:rPr>
                <w:rFonts w:eastAsia="Calibri"/>
                <w:w w:val="105"/>
                <w:sz w:val="12"/>
                <w:szCs w:val="12"/>
                <w:u w:val="single"/>
              </w:rPr>
              <w:t xml:space="preserve"> </w:t>
            </w:r>
            <w:hyperlink r:id="rId8" w:history="1">
              <w:r w:rsidR="00433420" w:rsidRPr="00E67D0C">
                <w:rPr>
                  <w:rStyle w:val="Hyperlink"/>
                  <w:rFonts w:eastAsia="Calibri"/>
                  <w:w w:val="105"/>
                  <w:sz w:val="12"/>
                  <w:szCs w:val="12"/>
                </w:rPr>
                <w:t>ahubbard@mfhenvlaw.com</w:t>
              </w:r>
            </w:hyperlink>
          </w:p>
          <w:p w14:paraId="1E57A537" w14:textId="77777777" w:rsidR="00211F1E" w:rsidRDefault="00211F1E" w:rsidP="00352AE0">
            <w:pPr>
              <w:spacing w:line="360" w:lineRule="auto"/>
              <w:ind w:left="1209" w:right="144"/>
              <w:jc w:val="right"/>
              <w:rPr>
                <w:rFonts w:eastAsia="Calibri"/>
                <w:sz w:val="16"/>
              </w:rPr>
            </w:pPr>
          </w:p>
          <w:p w14:paraId="2EF3BA71" w14:textId="77777777" w:rsidR="006C3E6A" w:rsidRDefault="006C3E6A" w:rsidP="00352AE0">
            <w:pPr>
              <w:pStyle w:val="Header"/>
              <w:rPr>
                <w:rFonts w:eastAsia="Calibri"/>
              </w:rPr>
            </w:pPr>
          </w:p>
        </w:tc>
      </w:tr>
    </w:tbl>
    <w:p w14:paraId="3122F92D" w14:textId="5669DA34" w:rsidR="006634B7" w:rsidRDefault="006634B7" w:rsidP="006634B7">
      <w:pPr>
        <w:spacing w:line="230" w:lineRule="auto"/>
        <w:jc w:val="both"/>
      </w:pPr>
    </w:p>
    <w:p w14:paraId="35E4D2D6" w14:textId="5F1345CF" w:rsidR="00CA245B" w:rsidRPr="002228FD" w:rsidRDefault="002228FD" w:rsidP="002228FD">
      <w:pPr>
        <w:spacing w:line="230" w:lineRule="auto"/>
        <w:jc w:val="center"/>
        <w:rPr>
          <w:b/>
          <w:bCs/>
          <w:sz w:val="36"/>
          <w:szCs w:val="36"/>
          <w:u w:val="single"/>
        </w:rPr>
      </w:pPr>
      <w:r w:rsidRPr="002228FD">
        <w:rPr>
          <w:b/>
          <w:bCs/>
          <w:sz w:val="36"/>
          <w:szCs w:val="36"/>
          <w:u w:val="single"/>
        </w:rPr>
        <w:t xml:space="preserve">WHISPERING WOODS, </w:t>
      </w:r>
      <w:proofErr w:type="gramStart"/>
      <w:r w:rsidRPr="002228FD">
        <w:rPr>
          <w:b/>
          <w:bCs/>
          <w:sz w:val="36"/>
          <w:szCs w:val="36"/>
          <w:u w:val="single"/>
        </w:rPr>
        <w:t>Why</w:t>
      </w:r>
      <w:proofErr w:type="gramEnd"/>
      <w:r w:rsidRPr="002228FD">
        <w:rPr>
          <w:b/>
          <w:bCs/>
          <w:sz w:val="36"/>
          <w:szCs w:val="36"/>
          <w:u w:val="single"/>
        </w:rPr>
        <w:t xml:space="preserve"> so Quiet?</w:t>
      </w:r>
    </w:p>
    <w:p w14:paraId="0169EDF2" w14:textId="60448717" w:rsidR="002228FD" w:rsidRPr="002228FD" w:rsidRDefault="002228FD" w:rsidP="002228FD">
      <w:pPr>
        <w:spacing w:line="230" w:lineRule="auto"/>
        <w:jc w:val="center"/>
        <w:rPr>
          <w:u w:val="single"/>
        </w:rPr>
      </w:pPr>
      <w:r w:rsidRPr="002228FD">
        <w:rPr>
          <w:u w:val="single"/>
        </w:rPr>
        <w:t>New Jersey League of Municipalities</w:t>
      </w:r>
      <w:r>
        <w:rPr>
          <w:u w:val="single"/>
        </w:rPr>
        <w:t>, 107</w:t>
      </w:r>
      <w:r w:rsidRPr="002228FD">
        <w:rPr>
          <w:u w:val="single"/>
          <w:vertAlign w:val="superscript"/>
        </w:rPr>
        <w:t>th</w:t>
      </w:r>
      <w:r>
        <w:rPr>
          <w:u w:val="single"/>
        </w:rPr>
        <w:t xml:space="preserve"> Conference</w:t>
      </w:r>
    </w:p>
    <w:p w14:paraId="39089B0C" w14:textId="7B98D47A" w:rsidR="002228FD" w:rsidRPr="002228FD" w:rsidRDefault="002228FD" w:rsidP="002228FD">
      <w:pPr>
        <w:spacing w:line="230" w:lineRule="auto"/>
        <w:jc w:val="center"/>
        <w:rPr>
          <w:u w:val="single"/>
        </w:rPr>
      </w:pPr>
      <w:r>
        <w:rPr>
          <w:u w:val="single"/>
        </w:rPr>
        <w:t>November 15, 2022</w:t>
      </w:r>
    </w:p>
    <w:p w14:paraId="0F40B263" w14:textId="40083AB5" w:rsidR="00CA245B" w:rsidRDefault="00CA245B" w:rsidP="006634B7">
      <w:pPr>
        <w:spacing w:line="230" w:lineRule="auto"/>
        <w:jc w:val="both"/>
      </w:pPr>
    </w:p>
    <w:p w14:paraId="16C11B2E" w14:textId="093C7CFF" w:rsidR="00CA245B" w:rsidRDefault="00CA245B" w:rsidP="006634B7">
      <w:pPr>
        <w:spacing w:line="230" w:lineRule="auto"/>
        <w:jc w:val="both"/>
      </w:pPr>
    </w:p>
    <w:p w14:paraId="25F90D9B" w14:textId="77777777" w:rsidR="002228FD" w:rsidRPr="002228FD" w:rsidRDefault="002228FD" w:rsidP="002228FD">
      <w:pPr>
        <w:suppressAutoHyphens w:val="0"/>
        <w:spacing w:line="259" w:lineRule="auto"/>
        <w:jc w:val="both"/>
        <w:rPr>
          <w:rFonts w:eastAsiaTheme="minorEastAsia"/>
        </w:rPr>
      </w:pPr>
      <w:r w:rsidRPr="002228FD">
        <w:rPr>
          <w:rFonts w:eastAsiaTheme="minorEastAsia"/>
          <w:b/>
          <w:bCs/>
        </w:rPr>
        <w:t>WARNER CO. V SUTTON</w:t>
      </w:r>
      <w:r w:rsidRPr="002228FD">
        <w:rPr>
          <w:rFonts w:eastAsiaTheme="minorEastAsia"/>
        </w:rPr>
        <w:t xml:space="preserve">, 274 </w:t>
      </w:r>
      <w:proofErr w:type="spellStart"/>
      <w:r w:rsidRPr="002228FD">
        <w:rPr>
          <w:rFonts w:eastAsiaTheme="minorEastAsia"/>
        </w:rPr>
        <w:t>N.</w:t>
      </w:r>
      <w:proofErr w:type="gramStart"/>
      <w:r w:rsidRPr="002228FD">
        <w:rPr>
          <w:rFonts w:eastAsiaTheme="minorEastAsia"/>
        </w:rPr>
        <w:t>J.Super</w:t>
      </w:r>
      <w:proofErr w:type="spellEnd"/>
      <w:proofErr w:type="gramEnd"/>
      <w:r w:rsidRPr="002228FD">
        <w:rPr>
          <w:rFonts w:eastAsiaTheme="minorEastAsia"/>
        </w:rPr>
        <w:t xml:space="preserve">. 464, 644 A.2d. 656 (App </w:t>
      </w:r>
      <w:proofErr w:type="spellStart"/>
      <w:r w:rsidRPr="002228FD">
        <w:rPr>
          <w:rFonts w:eastAsiaTheme="minorEastAsia"/>
        </w:rPr>
        <w:t>Div</w:t>
      </w:r>
      <w:proofErr w:type="spellEnd"/>
      <w:r w:rsidRPr="002228FD">
        <w:rPr>
          <w:rFonts w:eastAsiaTheme="minorEastAsia"/>
        </w:rPr>
        <w:t xml:space="preserve"> 1994)</w:t>
      </w:r>
    </w:p>
    <w:p w14:paraId="34163ECE" w14:textId="77777777" w:rsidR="002228FD" w:rsidRPr="002228FD" w:rsidRDefault="002228FD" w:rsidP="002228FD">
      <w:pPr>
        <w:suppressAutoHyphens w:val="0"/>
        <w:spacing w:line="259" w:lineRule="auto"/>
        <w:jc w:val="both"/>
        <w:rPr>
          <w:rFonts w:eastAsiaTheme="minorEastAsia"/>
        </w:rPr>
      </w:pPr>
      <w:r w:rsidRPr="002228FD">
        <w:rPr>
          <w:rFonts w:eastAsiaTheme="minorEastAsia"/>
          <w:b/>
          <w:bCs/>
        </w:rPr>
        <w:t>Synopsis:</w:t>
      </w:r>
      <w:r w:rsidRPr="002228FD">
        <w:rPr>
          <w:rFonts w:eastAsiaTheme="minorEastAsia"/>
        </w:rPr>
        <w:t xml:space="preserve"> A consent order was entered into by the Planning Board and the Developer that was approved by the Law Division and amended the zoning without a public hearing.</w:t>
      </w:r>
    </w:p>
    <w:p w14:paraId="54743BAD" w14:textId="77777777" w:rsidR="002228FD" w:rsidRPr="002228FD" w:rsidRDefault="002228FD" w:rsidP="002228FD">
      <w:pPr>
        <w:suppressAutoHyphens w:val="0"/>
        <w:spacing w:line="259" w:lineRule="auto"/>
        <w:jc w:val="both"/>
        <w:rPr>
          <w:rFonts w:eastAsiaTheme="minorEastAsia"/>
        </w:rPr>
      </w:pPr>
      <w:r w:rsidRPr="002228FD">
        <w:rPr>
          <w:rFonts w:eastAsiaTheme="minorEastAsia"/>
          <w:b/>
          <w:bCs/>
        </w:rPr>
        <w:t xml:space="preserve">Holding: </w:t>
      </w:r>
      <w:r w:rsidRPr="002228FD">
        <w:rPr>
          <w:rFonts w:eastAsiaTheme="minorEastAsia"/>
        </w:rPr>
        <w:t>Appellate Division found that approval of the settlement and rezoning may only be accomplished with the substantive powers and procedural safeguards, including a public hearing.</w:t>
      </w:r>
    </w:p>
    <w:p w14:paraId="0A2249B2" w14:textId="77777777" w:rsidR="002228FD" w:rsidRPr="002228FD" w:rsidRDefault="002228FD" w:rsidP="002228FD">
      <w:pPr>
        <w:suppressAutoHyphens w:val="0"/>
        <w:spacing w:line="259" w:lineRule="auto"/>
        <w:jc w:val="both"/>
        <w:rPr>
          <w:rFonts w:eastAsiaTheme="minorEastAsia"/>
        </w:rPr>
      </w:pPr>
    </w:p>
    <w:p w14:paraId="6071F014" w14:textId="77777777" w:rsidR="002228FD" w:rsidRPr="002228FD" w:rsidRDefault="002228FD" w:rsidP="002228FD">
      <w:pPr>
        <w:suppressAutoHyphens w:val="0"/>
        <w:spacing w:line="259" w:lineRule="auto"/>
        <w:jc w:val="both"/>
        <w:rPr>
          <w:rFonts w:eastAsiaTheme="minorEastAsia"/>
        </w:rPr>
      </w:pPr>
      <w:proofErr w:type="spellStart"/>
      <w:r w:rsidRPr="002228FD">
        <w:rPr>
          <w:rFonts w:eastAsiaTheme="minorEastAsia"/>
          <w:b/>
          <w:bCs/>
        </w:rPr>
        <w:t>GANDOLPHI</w:t>
      </w:r>
      <w:proofErr w:type="spellEnd"/>
      <w:r w:rsidRPr="002228FD">
        <w:rPr>
          <w:rFonts w:eastAsiaTheme="minorEastAsia"/>
          <w:b/>
          <w:bCs/>
        </w:rPr>
        <w:t xml:space="preserve"> V TOWN OF HAMMONTON</w:t>
      </w:r>
      <w:r w:rsidRPr="002228FD">
        <w:rPr>
          <w:rFonts w:eastAsiaTheme="minorEastAsia"/>
        </w:rPr>
        <w:t xml:space="preserve">, 367 </w:t>
      </w:r>
      <w:proofErr w:type="spellStart"/>
      <w:r w:rsidRPr="002228FD">
        <w:rPr>
          <w:rFonts w:eastAsiaTheme="minorEastAsia"/>
        </w:rPr>
        <w:t>N.</w:t>
      </w:r>
      <w:proofErr w:type="gramStart"/>
      <w:r w:rsidRPr="002228FD">
        <w:rPr>
          <w:rFonts w:eastAsiaTheme="minorEastAsia"/>
        </w:rPr>
        <w:t>J.Super</w:t>
      </w:r>
      <w:proofErr w:type="spellEnd"/>
      <w:proofErr w:type="gramEnd"/>
      <w:r w:rsidRPr="002228FD">
        <w:rPr>
          <w:rFonts w:eastAsiaTheme="minorEastAsia"/>
        </w:rPr>
        <w:t>. 527 (2004)</w:t>
      </w:r>
    </w:p>
    <w:p w14:paraId="33716E2D" w14:textId="77777777" w:rsidR="002228FD" w:rsidRPr="002228FD" w:rsidRDefault="002228FD" w:rsidP="002228FD">
      <w:pPr>
        <w:suppressAutoHyphens w:val="0"/>
        <w:spacing w:line="259" w:lineRule="auto"/>
        <w:jc w:val="both"/>
        <w:rPr>
          <w:rFonts w:eastAsiaTheme="minorEastAsia"/>
        </w:rPr>
      </w:pPr>
      <w:r w:rsidRPr="002228FD">
        <w:rPr>
          <w:rFonts w:eastAsiaTheme="minorEastAsia"/>
          <w:b/>
          <w:bCs/>
        </w:rPr>
        <w:t xml:space="preserve">Synopsis: </w:t>
      </w:r>
      <w:r w:rsidRPr="002228FD">
        <w:rPr>
          <w:rFonts w:eastAsiaTheme="minorEastAsia"/>
        </w:rPr>
        <w:t>Citizens brought an action against the town planning board and developer challenging developer’s subdivision approval, which approval was part of settlement agreement developer entered into with the board. Superior Court invalidated the approval, developer appealed.</w:t>
      </w:r>
    </w:p>
    <w:p w14:paraId="219C92E9" w14:textId="77777777" w:rsidR="002228FD" w:rsidRPr="002228FD" w:rsidRDefault="002228FD" w:rsidP="002228FD">
      <w:pPr>
        <w:suppressAutoHyphens w:val="0"/>
        <w:spacing w:line="259" w:lineRule="auto"/>
        <w:jc w:val="both"/>
        <w:rPr>
          <w:rFonts w:eastAsiaTheme="minorEastAsia"/>
        </w:rPr>
      </w:pPr>
      <w:r w:rsidRPr="002228FD">
        <w:rPr>
          <w:rFonts w:eastAsiaTheme="minorEastAsia"/>
          <w:b/>
          <w:bCs/>
        </w:rPr>
        <w:t>Holding:</w:t>
      </w:r>
      <w:r w:rsidRPr="002228FD">
        <w:rPr>
          <w:rFonts w:eastAsiaTheme="minorEastAsia"/>
        </w:rPr>
        <w:t xml:space="preserve">  Closed meeting between planning board and developer in which settlement of developer’s claims were discussed did not violate </w:t>
      </w:r>
      <w:proofErr w:type="spellStart"/>
      <w:r w:rsidRPr="002228FD">
        <w:rPr>
          <w:rFonts w:eastAsiaTheme="minorEastAsia"/>
        </w:rPr>
        <w:t>OPMA</w:t>
      </w:r>
      <w:proofErr w:type="spellEnd"/>
      <w:r w:rsidRPr="002228FD">
        <w:rPr>
          <w:rFonts w:eastAsiaTheme="minorEastAsia"/>
        </w:rPr>
        <w:t>; settlement discussions did not taint subsequent public proceeding on subdivision plans; board had jurisdiction to consider the subdivision plan; and board was authorized to accept payment in lieu of construction of creational facility.</w:t>
      </w:r>
    </w:p>
    <w:p w14:paraId="0EBCB0F7" w14:textId="7B4D9001" w:rsidR="002228FD" w:rsidRDefault="002228FD" w:rsidP="002228FD">
      <w:pPr>
        <w:widowControl w:val="0"/>
        <w:suppressAutoHyphens w:val="0"/>
        <w:autoSpaceDE w:val="0"/>
        <w:autoSpaceDN w:val="0"/>
        <w:adjustRightInd w:val="0"/>
        <w:spacing w:line="240" w:lineRule="auto"/>
        <w:jc w:val="both"/>
        <w:rPr>
          <w:rFonts w:eastAsiaTheme="minorEastAsia"/>
          <w:color w:val="000000"/>
        </w:rPr>
      </w:pPr>
    </w:p>
    <w:p w14:paraId="699A6A6D" w14:textId="2C0DF10B" w:rsidR="004B1652" w:rsidRDefault="004B1652" w:rsidP="002228FD">
      <w:pPr>
        <w:widowControl w:val="0"/>
        <w:suppressAutoHyphens w:val="0"/>
        <w:autoSpaceDE w:val="0"/>
        <w:autoSpaceDN w:val="0"/>
        <w:adjustRightInd w:val="0"/>
        <w:spacing w:line="240" w:lineRule="auto"/>
        <w:jc w:val="both"/>
        <w:rPr>
          <w:rFonts w:eastAsiaTheme="minorEastAsia"/>
          <w:color w:val="000000"/>
        </w:rPr>
      </w:pPr>
      <w:r w:rsidRPr="004B1652">
        <w:rPr>
          <w:rFonts w:eastAsiaTheme="minorEastAsia"/>
          <w:b/>
          <w:bCs/>
          <w:color w:val="000000"/>
        </w:rPr>
        <w:t>OUTFRONT MEDIA, LLC, f/k/a/ CBS OUTDOOR, LLC v. PLANNING/ZONING BOARD OF THE BOROUGH OF BOGOTA</w:t>
      </w:r>
      <w:r>
        <w:rPr>
          <w:rFonts w:eastAsiaTheme="minorEastAsia"/>
          <w:color w:val="000000"/>
        </w:rPr>
        <w:t>, unpublished opinion, an appeal from the Superior Court of New Jersey, Law Division, Bergen County, Docket No. L0010670-15, Docket No A-1654-17T4 (2019)</w:t>
      </w:r>
    </w:p>
    <w:p w14:paraId="5EFD79C1" w14:textId="486595B0" w:rsidR="004B1652" w:rsidRDefault="004B1652" w:rsidP="002228FD">
      <w:pPr>
        <w:widowControl w:val="0"/>
        <w:suppressAutoHyphens w:val="0"/>
        <w:autoSpaceDE w:val="0"/>
        <w:autoSpaceDN w:val="0"/>
        <w:adjustRightInd w:val="0"/>
        <w:spacing w:line="240" w:lineRule="auto"/>
        <w:jc w:val="both"/>
        <w:rPr>
          <w:rFonts w:eastAsiaTheme="minorEastAsia"/>
          <w:color w:val="000000"/>
        </w:rPr>
      </w:pPr>
      <w:r w:rsidRPr="004B1652">
        <w:rPr>
          <w:rFonts w:eastAsiaTheme="minorEastAsia"/>
          <w:b/>
          <w:bCs/>
          <w:color w:val="000000"/>
        </w:rPr>
        <w:t>Synopsis:</w:t>
      </w:r>
      <w:r>
        <w:rPr>
          <w:rFonts w:eastAsiaTheme="minorEastAsia"/>
          <w:color w:val="000000"/>
        </w:rPr>
        <w:t xml:space="preserve"> Board denied conditional use and site plan application for a static billboard adjacent to Route 80.  Board Resolution lacked justification for denial.</w:t>
      </w:r>
      <w:r w:rsidR="00ED2E81">
        <w:rPr>
          <w:rFonts w:eastAsiaTheme="minorEastAsia"/>
          <w:color w:val="000000"/>
        </w:rPr>
        <w:t xml:space="preserve">  The Law Division upheld the resolution.</w:t>
      </w:r>
    </w:p>
    <w:p w14:paraId="089C51FB" w14:textId="3B56FE44" w:rsidR="004B1652" w:rsidRDefault="00ED2E81" w:rsidP="002228FD">
      <w:pPr>
        <w:widowControl w:val="0"/>
        <w:suppressAutoHyphens w:val="0"/>
        <w:autoSpaceDE w:val="0"/>
        <w:autoSpaceDN w:val="0"/>
        <w:adjustRightInd w:val="0"/>
        <w:spacing w:line="240" w:lineRule="auto"/>
        <w:jc w:val="both"/>
        <w:rPr>
          <w:rFonts w:eastAsiaTheme="minorEastAsia"/>
          <w:color w:val="000000"/>
        </w:rPr>
      </w:pPr>
      <w:r>
        <w:rPr>
          <w:rFonts w:eastAsiaTheme="minorEastAsia"/>
          <w:b/>
          <w:bCs/>
          <w:color w:val="000000"/>
        </w:rPr>
        <w:t xml:space="preserve">Holding:  </w:t>
      </w:r>
      <w:r>
        <w:rPr>
          <w:rFonts w:eastAsiaTheme="minorEastAsia"/>
          <w:color w:val="000000"/>
        </w:rPr>
        <w:t>The Appellate Division reversed the Law Division, noting Board’s legal justifications in the Resolution were conclusory and that it failed to make appropriate findings of fact and conclusions of law.</w:t>
      </w:r>
    </w:p>
    <w:p w14:paraId="13654262" w14:textId="77777777" w:rsidR="00ED2E81" w:rsidRDefault="00ED2E81" w:rsidP="002228FD">
      <w:pPr>
        <w:widowControl w:val="0"/>
        <w:suppressAutoHyphens w:val="0"/>
        <w:autoSpaceDE w:val="0"/>
        <w:autoSpaceDN w:val="0"/>
        <w:adjustRightInd w:val="0"/>
        <w:spacing w:line="240" w:lineRule="auto"/>
        <w:jc w:val="both"/>
        <w:rPr>
          <w:rFonts w:eastAsiaTheme="minorEastAsia"/>
          <w:color w:val="000000"/>
        </w:rPr>
      </w:pPr>
    </w:p>
    <w:p w14:paraId="0B6EA9BF" w14:textId="77777777" w:rsidR="004B1652" w:rsidRPr="002228FD" w:rsidRDefault="004B1652" w:rsidP="002228FD">
      <w:pPr>
        <w:widowControl w:val="0"/>
        <w:suppressAutoHyphens w:val="0"/>
        <w:autoSpaceDE w:val="0"/>
        <w:autoSpaceDN w:val="0"/>
        <w:adjustRightInd w:val="0"/>
        <w:spacing w:line="240" w:lineRule="auto"/>
        <w:jc w:val="both"/>
        <w:rPr>
          <w:rFonts w:eastAsiaTheme="minorEastAsia"/>
          <w:color w:val="000000"/>
        </w:rPr>
      </w:pPr>
    </w:p>
    <w:p w14:paraId="77DDAFAC" w14:textId="77777777" w:rsidR="002228FD" w:rsidRPr="002228FD" w:rsidRDefault="002228FD" w:rsidP="002228FD">
      <w:pPr>
        <w:widowControl w:val="0"/>
        <w:suppressAutoHyphens w:val="0"/>
        <w:autoSpaceDE w:val="0"/>
        <w:autoSpaceDN w:val="0"/>
        <w:adjustRightInd w:val="0"/>
        <w:spacing w:line="240" w:lineRule="auto"/>
        <w:jc w:val="both"/>
        <w:rPr>
          <w:rFonts w:eastAsiaTheme="minorEastAsia"/>
          <w:color w:val="000000"/>
        </w:rPr>
      </w:pPr>
      <w:r w:rsidRPr="002228FD">
        <w:rPr>
          <w:rFonts w:eastAsiaTheme="minorEastAsia"/>
          <w:b/>
          <w:bCs/>
          <w:color w:val="000000"/>
        </w:rPr>
        <w:t>MOSS v. BOROUGH OF FRANKLIN</w:t>
      </w:r>
      <w:r w:rsidRPr="002228FD">
        <w:rPr>
          <w:rFonts w:eastAsiaTheme="minorEastAsia"/>
          <w:color w:val="000000"/>
        </w:rPr>
        <w:t>, unpublished opinion, an appeal from Superior Court of NJ, Law Division, Sussex County, Docket No. L-0418-19 (2021)</w:t>
      </w:r>
    </w:p>
    <w:p w14:paraId="0DEEB436" w14:textId="77777777" w:rsidR="002228FD" w:rsidRPr="002228FD" w:rsidRDefault="002228FD" w:rsidP="002228FD">
      <w:pPr>
        <w:widowControl w:val="0"/>
        <w:suppressAutoHyphens w:val="0"/>
        <w:autoSpaceDE w:val="0"/>
        <w:autoSpaceDN w:val="0"/>
        <w:adjustRightInd w:val="0"/>
        <w:spacing w:line="240" w:lineRule="auto"/>
        <w:jc w:val="both"/>
        <w:rPr>
          <w:rFonts w:eastAsiaTheme="minorEastAsia"/>
          <w:color w:val="000000"/>
        </w:rPr>
      </w:pPr>
      <w:r w:rsidRPr="002228FD">
        <w:rPr>
          <w:rFonts w:eastAsiaTheme="minorEastAsia"/>
          <w:b/>
          <w:bCs/>
          <w:color w:val="000000"/>
        </w:rPr>
        <w:t>Synopsis:</w:t>
      </w:r>
      <w:r w:rsidRPr="002228FD">
        <w:rPr>
          <w:rFonts w:eastAsiaTheme="minorEastAsia"/>
          <w:color w:val="000000"/>
        </w:rPr>
        <w:t xml:space="preserve"> Plaintiff filed an action in lieu of prerogative writs to challenge the settlement between the Borough and Planning Board of Franklin and the developers alleging impermissible spot zoning and violation of </w:t>
      </w:r>
      <w:r w:rsidRPr="002228FD">
        <w:rPr>
          <w:rFonts w:eastAsiaTheme="minorEastAsia"/>
          <w:i/>
          <w:iCs/>
          <w:color w:val="000000"/>
        </w:rPr>
        <w:t>Whispering Woods</w:t>
      </w:r>
      <w:r w:rsidRPr="002228FD">
        <w:rPr>
          <w:rFonts w:eastAsiaTheme="minorEastAsia"/>
          <w:color w:val="000000"/>
        </w:rPr>
        <w:t xml:space="preserve"> process.</w:t>
      </w:r>
    </w:p>
    <w:p w14:paraId="19842E6C" w14:textId="77777777" w:rsidR="002228FD" w:rsidRPr="002228FD" w:rsidRDefault="00B23B19" w:rsidP="002228FD">
      <w:pPr>
        <w:widowControl w:val="0"/>
        <w:suppressAutoHyphens w:val="0"/>
        <w:autoSpaceDE w:val="0"/>
        <w:autoSpaceDN w:val="0"/>
        <w:adjustRightInd w:val="0"/>
        <w:spacing w:line="240" w:lineRule="auto"/>
        <w:jc w:val="both"/>
        <w:rPr>
          <w:rFonts w:eastAsiaTheme="minorEastAsia"/>
        </w:rPr>
      </w:pPr>
      <w:hyperlink w:anchor="co_anchor_F42027139609_1" w:history="1">
        <w:r w:rsidR="002228FD" w:rsidRPr="002228FD">
          <w:rPr>
            <w:rFonts w:eastAsiaTheme="minorEastAsia"/>
            <w:b/>
            <w:bCs/>
          </w:rPr>
          <w:t>Holding:</w:t>
        </w:r>
      </w:hyperlink>
      <w:r w:rsidR="002228FD" w:rsidRPr="002228FD">
        <w:rPr>
          <w:rFonts w:eastAsiaTheme="minorEastAsia"/>
        </w:rPr>
        <w:t xml:space="preserve">  Court held that the Board’s attorney limiting the discussion at the public hearing was not in violation of </w:t>
      </w:r>
      <w:r w:rsidR="002228FD" w:rsidRPr="002228FD">
        <w:rPr>
          <w:rFonts w:eastAsiaTheme="minorEastAsia"/>
          <w:i/>
          <w:iCs/>
        </w:rPr>
        <w:t>Whispering Woods</w:t>
      </w:r>
      <w:r w:rsidR="002228FD" w:rsidRPr="002228FD">
        <w:rPr>
          <w:rFonts w:eastAsiaTheme="minorEastAsia"/>
        </w:rPr>
        <w:t xml:space="preserve">, noting that there is nothing in </w:t>
      </w:r>
      <w:r w:rsidR="002228FD" w:rsidRPr="002228FD">
        <w:rPr>
          <w:rFonts w:eastAsiaTheme="minorEastAsia"/>
          <w:i/>
          <w:iCs/>
        </w:rPr>
        <w:t>Whispering Woods</w:t>
      </w:r>
      <w:r w:rsidR="002228FD" w:rsidRPr="002228FD">
        <w:rPr>
          <w:rFonts w:eastAsiaTheme="minorEastAsia"/>
        </w:rPr>
        <w:t xml:space="preserve"> to suggest that the public must be given a wide latitude at the hearing to renegotiate the terms of the agreement settlement. </w:t>
      </w:r>
    </w:p>
    <w:p w14:paraId="7EF59E8D" w14:textId="77777777" w:rsidR="002228FD" w:rsidRPr="002228FD" w:rsidRDefault="002228FD" w:rsidP="002228FD">
      <w:pPr>
        <w:widowControl w:val="0"/>
        <w:suppressAutoHyphens w:val="0"/>
        <w:autoSpaceDE w:val="0"/>
        <w:autoSpaceDN w:val="0"/>
        <w:adjustRightInd w:val="0"/>
        <w:spacing w:line="240" w:lineRule="auto"/>
        <w:jc w:val="both"/>
        <w:rPr>
          <w:rFonts w:eastAsiaTheme="minorEastAsia"/>
        </w:rPr>
      </w:pPr>
    </w:p>
    <w:p w14:paraId="41903BAD" w14:textId="77777777" w:rsidR="00ED2E81" w:rsidRDefault="00ED2E81" w:rsidP="002228FD">
      <w:pPr>
        <w:widowControl w:val="0"/>
        <w:suppressAutoHyphens w:val="0"/>
        <w:autoSpaceDE w:val="0"/>
        <w:autoSpaceDN w:val="0"/>
        <w:adjustRightInd w:val="0"/>
        <w:spacing w:line="240" w:lineRule="auto"/>
        <w:jc w:val="both"/>
        <w:rPr>
          <w:rFonts w:eastAsiaTheme="minorEastAsia"/>
          <w:b/>
          <w:bCs/>
        </w:rPr>
      </w:pPr>
    </w:p>
    <w:p w14:paraId="2FD085B4" w14:textId="265C3AB2" w:rsidR="002228FD" w:rsidRPr="002228FD" w:rsidRDefault="002228FD" w:rsidP="002228FD">
      <w:pPr>
        <w:widowControl w:val="0"/>
        <w:suppressAutoHyphens w:val="0"/>
        <w:autoSpaceDE w:val="0"/>
        <w:autoSpaceDN w:val="0"/>
        <w:adjustRightInd w:val="0"/>
        <w:spacing w:line="240" w:lineRule="auto"/>
        <w:jc w:val="both"/>
        <w:rPr>
          <w:rFonts w:eastAsiaTheme="minorEastAsia"/>
        </w:rPr>
      </w:pPr>
      <w:r w:rsidRPr="002228FD">
        <w:rPr>
          <w:rFonts w:eastAsiaTheme="minorEastAsia"/>
          <w:b/>
          <w:bCs/>
        </w:rPr>
        <w:t xml:space="preserve">VILLAGE OF </w:t>
      </w:r>
      <w:r w:rsidR="0047200D" w:rsidRPr="002228FD">
        <w:rPr>
          <w:rFonts w:eastAsiaTheme="minorEastAsia"/>
          <w:b/>
          <w:bCs/>
        </w:rPr>
        <w:t>RIDGEFIELD</w:t>
      </w:r>
      <w:r w:rsidRPr="002228FD">
        <w:rPr>
          <w:rFonts w:eastAsiaTheme="minorEastAsia"/>
          <w:b/>
          <w:bCs/>
        </w:rPr>
        <w:t xml:space="preserve"> PARK v. OUTFRONT MEDIA, LLC</w:t>
      </w:r>
      <w:r w:rsidRPr="002228FD">
        <w:rPr>
          <w:rFonts w:eastAsiaTheme="minorEastAsia"/>
        </w:rPr>
        <w:t>, unpublished opinion, an appeal from the Superior Court of NJ, Law Division, Bergen County, Docket No. L-1043-20 (2022)</w:t>
      </w:r>
    </w:p>
    <w:p w14:paraId="1789D6F9" w14:textId="77777777" w:rsidR="002228FD" w:rsidRPr="002228FD" w:rsidRDefault="002228FD" w:rsidP="002228FD">
      <w:pPr>
        <w:widowControl w:val="0"/>
        <w:suppressAutoHyphens w:val="0"/>
        <w:autoSpaceDE w:val="0"/>
        <w:autoSpaceDN w:val="0"/>
        <w:adjustRightInd w:val="0"/>
        <w:spacing w:line="240" w:lineRule="auto"/>
        <w:jc w:val="both"/>
        <w:rPr>
          <w:rFonts w:eastAsiaTheme="minorEastAsia"/>
          <w:color w:val="000000"/>
        </w:rPr>
      </w:pPr>
      <w:r w:rsidRPr="002228FD">
        <w:rPr>
          <w:rFonts w:eastAsiaTheme="minorEastAsia"/>
          <w:b/>
          <w:bCs/>
          <w:color w:val="000000"/>
        </w:rPr>
        <w:t>Synopsis:</w:t>
      </w:r>
      <w:r w:rsidRPr="002228FD">
        <w:rPr>
          <w:rFonts w:eastAsiaTheme="minorEastAsia"/>
          <w:color w:val="000000"/>
        </w:rPr>
        <w:t xml:space="preserve"> Plaintiff appeals the Court Order upholding a decision of Planning Board of the Borough of Bogota, to approve the settlement with </w:t>
      </w:r>
      <w:proofErr w:type="spellStart"/>
      <w:r w:rsidRPr="002228FD">
        <w:rPr>
          <w:rFonts w:eastAsiaTheme="minorEastAsia"/>
          <w:color w:val="000000"/>
        </w:rPr>
        <w:t>Outfront</w:t>
      </w:r>
      <w:proofErr w:type="spellEnd"/>
      <w:r w:rsidRPr="002228FD">
        <w:rPr>
          <w:rFonts w:eastAsiaTheme="minorEastAsia"/>
          <w:color w:val="000000"/>
        </w:rPr>
        <w:t xml:space="preserve"> Media for a conditional use variance and final site plan approval to install a billboard.</w:t>
      </w:r>
    </w:p>
    <w:p w14:paraId="1E08D438" w14:textId="77777777" w:rsidR="002228FD" w:rsidRPr="002228FD" w:rsidRDefault="002228FD" w:rsidP="002228FD">
      <w:pPr>
        <w:suppressAutoHyphens w:val="0"/>
        <w:spacing w:after="160" w:line="259" w:lineRule="auto"/>
        <w:jc w:val="both"/>
        <w:rPr>
          <w:rFonts w:eastAsiaTheme="minorEastAsia"/>
          <w:color w:val="000000"/>
        </w:rPr>
      </w:pPr>
      <w:r w:rsidRPr="002228FD">
        <w:rPr>
          <w:rFonts w:eastAsiaTheme="minorEastAsia"/>
          <w:b/>
          <w:bCs/>
          <w:color w:val="000000"/>
        </w:rPr>
        <w:t>Holding:</w:t>
      </w:r>
      <w:r w:rsidRPr="002228FD">
        <w:rPr>
          <w:rFonts w:eastAsiaTheme="minorEastAsia"/>
          <w:color w:val="000000"/>
        </w:rPr>
        <w:t xml:space="preserve"> The Court held that the Defendants met all the statutory condition necessary to vindicate the public interest. </w:t>
      </w:r>
    </w:p>
    <w:p w14:paraId="4147EA8B" w14:textId="7EFDAD56" w:rsidR="00CA245B" w:rsidRDefault="00CA245B" w:rsidP="006634B7">
      <w:pPr>
        <w:spacing w:line="230" w:lineRule="auto"/>
        <w:jc w:val="both"/>
      </w:pPr>
    </w:p>
    <w:p w14:paraId="64EFAA16" w14:textId="595CF2EB" w:rsidR="00CA245B" w:rsidRDefault="00CA245B" w:rsidP="006634B7">
      <w:pPr>
        <w:spacing w:line="230" w:lineRule="auto"/>
        <w:jc w:val="both"/>
      </w:pPr>
    </w:p>
    <w:p w14:paraId="5DE014E9" w14:textId="788F0BED" w:rsidR="00CA245B" w:rsidRDefault="00CA245B" w:rsidP="006634B7">
      <w:pPr>
        <w:spacing w:line="230" w:lineRule="auto"/>
        <w:jc w:val="both"/>
      </w:pPr>
    </w:p>
    <w:p w14:paraId="22C988C6" w14:textId="2890C935" w:rsidR="00CA245B" w:rsidRDefault="00CA245B" w:rsidP="006634B7">
      <w:pPr>
        <w:spacing w:line="230" w:lineRule="auto"/>
        <w:jc w:val="both"/>
      </w:pPr>
    </w:p>
    <w:p w14:paraId="5583AF59" w14:textId="37EAD2E8" w:rsidR="00CA245B" w:rsidRDefault="00CA245B" w:rsidP="006634B7">
      <w:pPr>
        <w:spacing w:line="230" w:lineRule="auto"/>
        <w:jc w:val="both"/>
      </w:pPr>
    </w:p>
    <w:p w14:paraId="46A9E57F" w14:textId="7ED62375" w:rsidR="00CA245B" w:rsidRDefault="00CA245B" w:rsidP="006634B7">
      <w:pPr>
        <w:spacing w:line="230" w:lineRule="auto"/>
        <w:jc w:val="both"/>
      </w:pPr>
    </w:p>
    <w:p w14:paraId="781B360A" w14:textId="46F50542" w:rsidR="00CA245B" w:rsidRDefault="00CA245B" w:rsidP="006634B7">
      <w:pPr>
        <w:spacing w:line="230" w:lineRule="auto"/>
        <w:jc w:val="both"/>
      </w:pPr>
    </w:p>
    <w:p w14:paraId="40D796E8" w14:textId="29C52BA2" w:rsidR="00CA245B" w:rsidRDefault="00CA245B" w:rsidP="006634B7">
      <w:pPr>
        <w:spacing w:line="230" w:lineRule="auto"/>
        <w:jc w:val="both"/>
      </w:pPr>
    </w:p>
    <w:p w14:paraId="0C27A82B" w14:textId="686B2394" w:rsidR="00CA245B" w:rsidRDefault="00CA245B" w:rsidP="006634B7">
      <w:pPr>
        <w:spacing w:line="230" w:lineRule="auto"/>
        <w:jc w:val="both"/>
      </w:pPr>
    </w:p>
    <w:p w14:paraId="7140DA2D" w14:textId="5FFEE263" w:rsidR="00CA245B" w:rsidRDefault="00CA245B" w:rsidP="006634B7">
      <w:pPr>
        <w:spacing w:line="230" w:lineRule="auto"/>
        <w:jc w:val="both"/>
      </w:pPr>
    </w:p>
    <w:p w14:paraId="503FDB7C" w14:textId="3CD416FD" w:rsidR="00CA245B" w:rsidRDefault="00CA245B" w:rsidP="006634B7">
      <w:pPr>
        <w:spacing w:line="230" w:lineRule="auto"/>
        <w:jc w:val="both"/>
      </w:pPr>
    </w:p>
    <w:p w14:paraId="2F82B3D0" w14:textId="44390C7A" w:rsidR="00CA245B" w:rsidRDefault="00CA245B" w:rsidP="006634B7">
      <w:pPr>
        <w:spacing w:line="230" w:lineRule="auto"/>
        <w:jc w:val="both"/>
      </w:pPr>
    </w:p>
    <w:p w14:paraId="5BA07CF6" w14:textId="36E6BEA3" w:rsidR="00CA245B" w:rsidRDefault="00CA245B" w:rsidP="006634B7">
      <w:pPr>
        <w:spacing w:line="230" w:lineRule="auto"/>
        <w:jc w:val="both"/>
      </w:pPr>
    </w:p>
    <w:p w14:paraId="4D2C41D0" w14:textId="35E5B728" w:rsidR="00CA245B" w:rsidRDefault="00CA245B" w:rsidP="006634B7">
      <w:pPr>
        <w:spacing w:line="230" w:lineRule="auto"/>
        <w:jc w:val="both"/>
      </w:pPr>
    </w:p>
    <w:p w14:paraId="48B05744" w14:textId="3010AE76" w:rsidR="00CA245B" w:rsidRDefault="00CA245B" w:rsidP="006634B7">
      <w:pPr>
        <w:spacing w:line="230" w:lineRule="auto"/>
        <w:jc w:val="both"/>
      </w:pPr>
    </w:p>
    <w:p w14:paraId="0B01A7C8" w14:textId="598E5F00" w:rsidR="00CA245B" w:rsidRDefault="00CA245B" w:rsidP="006634B7">
      <w:pPr>
        <w:spacing w:line="230" w:lineRule="auto"/>
        <w:jc w:val="both"/>
      </w:pPr>
    </w:p>
    <w:p w14:paraId="45DF5772" w14:textId="242A7F17" w:rsidR="00CA245B" w:rsidRDefault="00CA245B" w:rsidP="006634B7">
      <w:pPr>
        <w:spacing w:line="230" w:lineRule="auto"/>
        <w:jc w:val="both"/>
      </w:pPr>
    </w:p>
    <w:p w14:paraId="0D5A648F" w14:textId="5FD07533" w:rsidR="00CA245B" w:rsidRDefault="00CA245B" w:rsidP="006634B7">
      <w:pPr>
        <w:spacing w:line="230" w:lineRule="auto"/>
        <w:jc w:val="both"/>
      </w:pPr>
    </w:p>
    <w:p w14:paraId="5B2D08A8" w14:textId="69B1FAC8" w:rsidR="00CA245B" w:rsidRDefault="00CA245B" w:rsidP="006634B7">
      <w:pPr>
        <w:spacing w:line="230" w:lineRule="auto"/>
        <w:jc w:val="both"/>
      </w:pPr>
    </w:p>
    <w:p w14:paraId="6BEEBE1E" w14:textId="41008194" w:rsidR="00CA245B" w:rsidRDefault="00CA245B" w:rsidP="006634B7">
      <w:pPr>
        <w:spacing w:line="230" w:lineRule="auto"/>
        <w:jc w:val="both"/>
      </w:pPr>
    </w:p>
    <w:p w14:paraId="4B77EE32" w14:textId="52F9CF6D" w:rsidR="00CA245B" w:rsidRDefault="00CA245B" w:rsidP="006634B7">
      <w:pPr>
        <w:spacing w:line="230" w:lineRule="auto"/>
        <w:jc w:val="both"/>
      </w:pPr>
    </w:p>
    <w:p w14:paraId="54976B94" w14:textId="5006E495" w:rsidR="00CA245B" w:rsidRDefault="00CA245B" w:rsidP="006634B7">
      <w:pPr>
        <w:spacing w:line="230" w:lineRule="auto"/>
        <w:jc w:val="both"/>
      </w:pPr>
    </w:p>
    <w:sectPr w:rsidR="00CA245B" w:rsidSect="006C3E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86AA" w14:textId="77777777" w:rsidR="00F96444" w:rsidRDefault="00F96444" w:rsidP="006C3E6A">
      <w:pPr>
        <w:spacing w:line="240" w:lineRule="auto"/>
      </w:pPr>
      <w:r>
        <w:separator/>
      </w:r>
    </w:p>
  </w:endnote>
  <w:endnote w:type="continuationSeparator" w:id="0">
    <w:p w14:paraId="6DF6AC4A" w14:textId="77777777" w:rsidR="00F96444" w:rsidRDefault="00F96444" w:rsidP="006C3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7C36" w14:textId="77777777" w:rsidR="004B1652" w:rsidRDefault="004B1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964F" w14:textId="21CF76AC" w:rsidR="00BE3EFF" w:rsidRPr="00BE3EFF" w:rsidRDefault="00BE3EFF" w:rsidP="00BE3EFF">
    <w:pPr>
      <w:pStyle w:val="Footer"/>
      <w:jc w:val="center"/>
      <w:rPr>
        <w:i/>
        <w:iCs/>
        <w:sz w:val="18"/>
        <w:szCs w:val="18"/>
      </w:rPr>
    </w:pPr>
    <w:r w:rsidRPr="00BE3EFF">
      <w:rPr>
        <w:i/>
        <w:iCs/>
        <w:sz w:val="18"/>
        <w:szCs w:val="18"/>
      </w:rPr>
      <w:t>ABA-EPA LAW OFFICE CLIMATE CHANGE PARTNER</w:t>
    </w:r>
  </w:p>
  <w:p w14:paraId="7AB1B362" w14:textId="56CF1305" w:rsidR="00E754C0" w:rsidRPr="00BE3EFF" w:rsidRDefault="00E754C0">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680F" w14:textId="051FE9F0" w:rsidR="00E754C0" w:rsidRPr="00BE3EFF" w:rsidRDefault="00BE3EFF" w:rsidP="00BE3EFF">
    <w:pPr>
      <w:pStyle w:val="Footer"/>
      <w:jc w:val="center"/>
      <w:rPr>
        <w:i/>
        <w:iCs/>
        <w:sz w:val="18"/>
        <w:szCs w:val="18"/>
      </w:rPr>
    </w:pPr>
    <w:r w:rsidRPr="00BE3EFF">
      <w:rPr>
        <w:i/>
        <w:iCs/>
        <w:sz w:val="18"/>
        <w:szCs w:val="18"/>
      </w:rPr>
      <w:t>ABA-EPA LAW OFFICE CLIMATE CHANGE PARTNER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C273" w14:textId="77777777" w:rsidR="00F96444" w:rsidRDefault="00F96444" w:rsidP="006C3E6A">
      <w:pPr>
        <w:spacing w:line="240" w:lineRule="auto"/>
        <w:rPr>
          <w:noProof/>
        </w:rPr>
      </w:pPr>
      <w:r>
        <w:rPr>
          <w:noProof/>
        </w:rPr>
        <w:separator/>
      </w:r>
    </w:p>
  </w:footnote>
  <w:footnote w:type="continuationSeparator" w:id="0">
    <w:p w14:paraId="4BA369CB" w14:textId="77777777" w:rsidR="00F96444" w:rsidRDefault="00F96444" w:rsidP="006C3E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4FF9" w14:textId="77777777" w:rsidR="004B1652" w:rsidRDefault="004B1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8C1C" w14:textId="42B52983" w:rsidR="006C3E6A" w:rsidRPr="00D903F7" w:rsidRDefault="006C3E6A" w:rsidP="006C3E6A">
    <w:pPr>
      <w:pStyle w:val="Header"/>
      <w:jc w:val="right"/>
      <w:rPr>
        <w:rFonts w:ascii="Times New Roman" w:hAnsi="Times New Roman" w:cs="Times New Roman"/>
        <w:sz w:val="24"/>
        <w:szCs w:val="24"/>
      </w:rPr>
    </w:pPr>
  </w:p>
  <w:p w14:paraId="3B066CDE" w14:textId="77777777" w:rsidR="00D903F7" w:rsidRPr="00D903F7" w:rsidRDefault="00D903F7" w:rsidP="006C3E6A">
    <w:pPr>
      <w:pStyle w:val="Header"/>
      <w:jc w:val="right"/>
      <w:rPr>
        <w:rFonts w:ascii="Times New Roman" w:hAnsi="Times New Roman" w:cs="Times New Roman"/>
        <w:sz w:val="24"/>
        <w:szCs w:val="24"/>
      </w:rPr>
    </w:pPr>
  </w:p>
  <w:p w14:paraId="1C23DB12" w14:textId="77777777" w:rsidR="00D8263D" w:rsidRDefault="00D8263D"/>
  <w:p w14:paraId="0A166CE7" w14:textId="77777777" w:rsidR="00937DB0" w:rsidRDefault="00937D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F154" w14:textId="77777777" w:rsidR="004B1652" w:rsidRDefault="004B1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0597"/>
    <w:multiLevelType w:val="hybridMultilevel"/>
    <w:tmpl w:val="8F70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F39AB"/>
    <w:multiLevelType w:val="hybridMultilevel"/>
    <w:tmpl w:val="8A26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84C55"/>
    <w:multiLevelType w:val="hybridMultilevel"/>
    <w:tmpl w:val="29506C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1000424342">
    <w:abstractNumId w:val="1"/>
  </w:num>
  <w:num w:numId="2" w16cid:durableId="814176227">
    <w:abstractNumId w:val="0"/>
  </w:num>
  <w:num w:numId="3" w16cid:durableId="143282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6A"/>
    <w:rsid w:val="00002CEA"/>
    <w:rsid w:val="00033311"/>
    <w:rsid w:val="00076FC9"/>
    <w:rsid w:val="000776BB"/>
    <w:rsid w:val="000B4A86"/>
    <w:rsid w:val="0016592F"/>
    <w:rsid w:val="00166048"/>
    <w:rsid w:val="00177628"/>
    <w:rsid w:val="001802BC"/>
    <w:rsid w:val="001804EF"/>
    <w:rsid w:val="001A0664"/>
    <w:rsid w:val="001A251D"/>
    <w:rsid w:val="001B3AD2"/>
    <w:rsid w:val="001F30F4"/>
    <w:rsid w:val="00211F1E"/>
    <w:rsid w:val="002228FD"/>
    <w:rsid w:val="00240C93"/>
    <w:rsid w:val="002604F3"/>
    <w:rsid w:val="00267ECE"/>
    <w:rsid w:val="002C78A0"/>
    <w:rsid w:val="002D0DFB"/>
    <w:rsid w:val="002F3002"/>
    <w:rsid w:val="003014CA"/>
    <w:rsid w:val="003337B1"/>
    <w:rsid w:val="00352AE0"/>
    <w:rsid w:val="00356826"/>
    <w:rsid w:val="003712CB"/>
    <w:rsid w:val="00396251"/>
    <w:rsid w:val="003A01AE"/>
    <w:rsid w:val="003A0BDE"/>
    <w:rsid w:val="003F3FAA"/>
    <w:rsid w:val="00433420"/>
    <w:rsid w:val="00433EB3"/>
    <w:rsid w:val="00443C51"/>
    <w:rsid w:val="00452904"/>
    <w:rsid w:val="00453403"/>
    <w:rsid w:val="00461D5F"/>
    <w:rsid w:val="0047200D"/>
    <w:rsid w:val="004973C0"/>
    <w:rsid w:val="004B1652"/>
    <w:rsid w:val="004E7119"/>
    <w:rsid w:val="00505783"/>
    <w:rsid w:val="005362AF"/>
    <w:rsid w:val="00552B97"/>
    <w:rsid w:val="00577891"/>
    <w:rsid w:val="005852E9"/>
    <w:rsid w:val="00591B75"/>
    <w:rsid w:val="005A7F0F"/>
    <w:rsid w:val="005C5752"/>
    <w:rsid w:val="005D1CA1"/>
    <w:rsid w:val="006250D6"/>
    <w:rsid w:val="006426DD"/>
    <w:rsid w:val="00645F5C"/>
    <w:rsid w:val="006634B7"/>
    <w:rsid w:val="00672025"/>
    <w:rsid w:val="006C11F4"/>
    <w:rsid w:val="006C3E6A"/>
    <w:rsid w:val="006E38ED"/>
    <w:rsid w:val="006F349B"/>
    <w:rsid w:val="0072710B"/>
    <w:rsid w:val="00727300"/>
    <w:rsid w:val="007331B9"/>
    <w:rsid w:val="00737186"/>
    <w:rsid w:val="0074510F"/>
    <w:rsid w:val="007461B1"/>
    <w:rsid w:val="00760507"/>
    <w:rsid w:val="007A6319"/>
    <w:rsid w:val="007B1839"/>
    <w:rsid w:val="007F08E6"/>
    <w:rsid w:val="007F0D40"/>
    <w:rsid w:val="008019C7"/>
    <w:rsid w:val="00803E70"/>
    <w:rsid w:val="008240D9"/>
    <w:rsid w:val="00884761"/>
    <w:rsid w:val="00884B28"/>
    <w:rsid w:val="008B17B8"/>
    <w:rsid w:val="008B32FD"/>
    <w:rsid w:val="008B5203"/>
    <w:rsid w:val="008B7BDA"/>
    <w:rsid w:val="00906B0E"/>
    <w:rsid w:val="00927788"/>
    <w:rsid w:val="00933A70"/>
    <w:rsid w:val="00937DB0"/>
    <w:rsid w:val="009948BE"/>
    <w:rsid w:val="009D00FE"/>
    <w:rsid w:val="009D5EA6"/>
    <w:rsid w:val="00A010E0"/>
    <w:rsid w:val="00A13039"/>
    <w:rsid w:val="00A16BAA"/>
    <w:rsid w:val="00A322B1"/>
    <w:rsid w:val="00A44B35"/>
    <w:rsid w:val="00AB3FA7"/>
    <w:rsid w:val="00AB6C0B"/>
    <w:rsid w:val="00AC1555"/>
    <w:rsid w:val="00AC1951"/>
    <w:rsid w:val="00AC7224"/>
    <w:rsid w:val="00AF4307"/>
    <w:rsid w:val="00B22802"/>
    <w:rsid w:val="00B23B19"/>
    <w:rsid w:val="00B507EA"/>
    <w:rsid w:val="00B81E78"/>
    <w:rsid w:val="00BD2ADB"/>
    <w:rsid w:val="00BE3EFF"/>
    <w:rsid w:val="00BF2C01"/>
    <w:rsid w:val="00C94B3A"/>
    <w:rsid w:val="00CA245B"/>
    <w:rsid w:val="00CA3911"/>
    <w:rsid w:val="00CE131B"/>
    <w:rsid w:val="00CF3540"/>
    <w:rsid w:val="00CF53B5"/>
    <w:rsid w:val="00CF72C0"/>
    <w:rsid w:val="00D304C7"/>
    <w:rsid w:val="00D643A9"/>
    <w:rsid w:val="00D8263D"/>
    <w:rsid w:val="00D903F7"/>
    <w:rsid w:val="00D9165C"/>
    <w:rsid w:val="00E13C60"/>
    <w:rsid w:val="00E14BDD"/>
    <w:rsid w:val="00E47B32"/>
    <w:rsid w:val="00E5321C"/>
    <w:rsid w:val="00E6171B"/>
    <w:rsid w:val="00E6199A"/>
    <w:rsid w:val="00E754C0"/>
    <w:rsid w:val="00E904CF"/>
    <w:rsid w:val="00EB1D79"/>
    <w:rsid w:val="00EC7FE3"/>
    <w:rsid w:val="00ED2E81"/>
    <w:rsid w:val="00ED6270"/>
    <w:rsid w:val="00EE0E9A"/>
    <w:rsid w:val="00EF4DEC"/>
    <w:rsid w:val="00F00D74"/>
    <w:rsid w:val="00F04E85"/>
    <w:rsid w:val="00F41A9A"/>
    <w:rsid w:val="00F96444"/>
    <w:rsid w:val="00FA55A1"/>
    <w:rsid w:val="00FF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EDEC6"/>
  <w15:docId w15:val="{B5F2D0E4-B556-487E-8095-57FB7CDA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6A"/>
    <w:pPr>
      <w:suppressAutoHyphens/>
      <w:spacing w:after="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C3E6A"/>
  </w:style>
  <w:style w:type="paragraph" w:styleId="Header">
    <w:name w:val="header"/>
    <w:basedOn w:val="Normal"/>
    <w:link w:val="HeaderChar"/>
    <w:unhideWhenUsed/>
    <w:rsid w:val="006C3E6A"/>
    <w:pPr>
      <w:tabs>
        <w:tab w:val="center" w:pos="4680"/>
        <w:tab w:val="right" w:pos="9360"/>
      </w:tabs>
      <w:spacing w:line="240" w:lineRule="auto"/>
    </w:pPr>
    <w:rPr>
      <w:rFonts w:asciiTheme="minorHAnsi" w:hAnsiTheme="minorHAnsi" w:cstheme="minorBidi"/>
      <w:sz w:val="22"/>
      <w:szCs w:val="22"/>
    </w:rPr>
  </w:style>
  <w:style w:type="character" w:customStyle="1" w:styleId="HeaderChar1">
    <w:name w:val="Header Char1"/>
    <w:basedOn w:val="DefaultParagraphFont"/>
    <w:uiPriority w:val="99"/>
    <w:semiHidden/>
    <w:rsid w:val="006C3E6A"/>
    <w:rPr>
      <w:rFonts w:ascii="Times New Roman" w:hAnsi="Times New Roman" w:cs="Times New Roman"/>
      <w:sz w:val="24"/>
      <w:szCs w:val="24"/>
    </w:rPr>
  </w:style>
  <w:style w:type="table" w:styleId="TableGrid">
    <w:name w:val="Table Grid"/>
    <w:basedOn w:val="TableNormal"/>
    <w:uiPriority w:val="39"/>
    <w:rsid w:val="006C3E6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6C3E6A"/>
    <w:pPr>
      <w:tabs>
        <w:tab w:val="center" w:pos="4680"/>
        <w:tab w:val="right" w:pos="9360"/>
      </w:tabs>
      <w:spacing w:line="240" w:lineRule="auto"/>
    </w:pPr>
  </w:style>
  <w:style w:type="character" w:customStyle="1" w:styleId="FooterChar">
    <w:name w:val="Footer Char"/>
    <w:basedOn w:val="DefaultParagraphFont"/>
    <w:link w:val="Footer"/>
    <w:uiPriority w:val="99"/>
    <w:rsid w:val="006C3E6A"/>
    <w:rPr>
      <w:rFonts w:ascii="Times New Roman" w:hAnsi="Times New Roman" w:cs="Times New Roman"/>
      <w:sz w:val="24"/>
      <w:szCs w:val="24"/>
    </w:rPr>
  </w:style>
  <w:style w:type="paragraph" w:styleId="ListParagraph">
    <w:name w:val="List Paragraph"/>
    <w:basedOn w:val="Normal"/>
    <w:uiPriority w:val="34"/>
    <w:qFormat/>
    <w:rsid w:val="007A6319"/>
    <w:pPr>
      <w:suppressAutoHyphens w:val="0"/>
      <w:spacing w:after="160" w:line="259"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076FC9"/>
    <w:rPr>
      <w:color w:val="0563C1" w:themeColor="hyperlink"/>
      <w:u w:val="single"/>
    </w:rPr>
  </w:style>
  <w:style w:type="character" w:styleId="UnresolvedMention">
    <w:name w:val="Unresolved Mention"/>
    <w:basedOn w:val="DefaultParagraphFont"/>
    <w:uiPriority w:val="99"/>
    <w:semiHidden/>
    <w:unhideWhenUsed/>
    <w:rsid w:val="00076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2202">
      <w:bodyDiv w:val="1"/>
      <w:marLeft w:val="0"/>
      <w:marRight w:val="0"/>
      <w:marTop w:val="0"/>
      <w:marBottom w:val="0"/>
      <w:divBdr>
        <w:top w:val="none" w:sz="0" w:space="0" w:color="auto"/>
        <w:left w:val="none" w:sz="0" w:space="0" w:color="auto"/>
        <w:bottom w:val="none" w:sz="0" w:space="0" w:color="auto"/>
        <w:right w:val="none" w:sz="0" w:space="0" w:color="auto"/>
      </w:divBdr>
    </w:div>
    <w:div w:id="903838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hubbard@mfhenvla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fhlaw.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3216</Characters>
  <Application>Microsoft Office Word</Application>
  <DocSecurity>0</DocSecurity>
  <PresentationFormat>15|.DOCX</PresentationFormat>
  <Lines>119</Lines>
  <Paragraphs>53</Paragraphs>
  <ScaleCrop>false</ScaleCrop>
  <HeadingPairs>
    <vt:vector size="2" baseType="variant">
      <vt:variant>
        <vt:lpstr>Title</vt:lpstr>
      </vt:variant>
      <vt:variant>
        <vt:i4>1</vt:i4>
      </vt:variant>
    </vt:vector>
  </HeadingPairs>
  <TitlesOfParts>
    <vt:vector size="1" baseType="lpstr">
      <vt:lpstr>Tralynn's 5-2-2022 Updated MF Letterhead Template (339653).DOCX</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Whispering Woods Case Law (348988).DOCX</dc:title>
  <dc:subject>wdNOSTAMP</dc:subject>
  <dc:creator>Liz Crann</dc:creator>
  <cp:keywords/>
  <dc:description/>
  <cp:lastModifiedBy>Alyse Hubbard</cp:lastModifiedBy>
  <cp:revision>2</cp:revision>
  <cp:lastPrinted>2022-11-14T19:17:00Z</cp:lastPrinted>
  <dcterms:created xsi:type="dcterms:W3CDTF">2022-11-14T20:03:00Z</dcterms:created>
  <dcterms:modified xsi:type="dcterms:W3CDTF">2022-11-14T20:03:00Z</dcterms:modified>
</cp:coreProperties>
</file>